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招标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采购</w:t>
      </w:r>
      <w:r>
        <w:rPr>
          <w:rFonts w:hint="eastAsia" w:ascii="仿宋" w:hAnsi="仿宋" w:eastAsia="仿宋"/>
          <w:b/>
          <w:bCs/>
          <w:sz w:val="36"/>
          <w:szCs w:val="36"/>
        </w:rPr>
        <w:t>公告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0" w:rightChars="0"/>
        <w:textAlignment w:val="baseline"/>
        <w:outlineLvl w:val="9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一、招标项目概况</w:t>
      </w:r>
      <w:bookmarkStart w:id="0" w:name="_GoBack"/>
      <w:bookmarkEnd w:id="0"/>
    </w:p>
    <w:p>
      <w:pPr>
        <w:widowControl/>
        <w:shd w:val="clear" w:color="auto" w:fill="FFFFFF"/>
        <w:spacing w:before="100" w:after="100" w:line="378" w:lineRule="atLeast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Cs w:val="21"/>
        </w:rPr>
        <w:t>1、招标项目名称</w:t>
      </w:r>
      <w:r>
        <w:rPr>
          <w:rFonts w:hint="eastAsia" w:ascii="仿宋" w:hAnsi="仿宋" w:eastAsia="仿宋" w:cs="宋体"/>
          <w:b/>
          <w:bCs/>
          <w:color w:val="333333"/>
          <w:kern w:val="0"/>
          <w:szCs w:val="21"/>
        </w:rPr>
        <w:t>：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 xml:space="preserve">                                             </w:t>
      </w:r>
      <w:r>
        <w:rPr>
          <w:rFonts w:ascii="仿宋" w:hAnsi="仿宋" w:eastAsia="仿宋" w:cs="宋体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before="100" w:after="100" w:line="378" w:lineRule="atLeast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Cs w:val="21"/>
        </w:rPr>
        <w:t>2、项目业态及规模</w:t>
      </w:r>
      <w:r>
        <w:rPr>
          <w:rFonts w:hint="eastAsia" w:ascii="仿宋" w:hAnsi="仿宋" w:eastAsia="仿宋" w:cs="宋体"/>
          <w:b/>
          <w:bCs/>
          <w:color w:val="333333"/>
          <w:kern w:val="0"/>
          <w:szCs w:val="21"/>
        </w:rPr>
        <w:t>：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 xml:space="preserve">                                            </w:t>
      </w:r>
      <w:r>
        <w:rPr>
          <w:rFonts w:ascii="仿宋" w:hAnsi="仿宋" w:eastAsia="仿宋" w:cs="宋体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before="100" w:after="100" w:line="378" w:lineRule="atLeast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Cs w:val="21"/>
        </w:rPr>
        <w:t>3、项目地址：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 xml:space="preserve">                                                    </w:t>
      </w:r>
      <w:r>
        <w:rPr>
          <w:rFonts w:ascii="仿宋" w:hAnsi="仿宋" w:eastAsia="仿宋" w:cs="宋体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before="100" w:after="100" w:line="378" w:lineRule="atLeast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Cs w:val="21"/>
        </w:rPr>
        <w:t>4、招标（承包）范围：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 xml:space="preserve">                               </w:t>
      </w:r>
      <w:r>
        <w:rPr>
          <w:rFonts w:ascii="仿宋" w:hAnsi="仿宋" w:eastAsia="仿宋" w:cs="宋体"/>
          <w:color w:val="333333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before="100" w:after="100" w:line="378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single"/>
        </w:rPr>
      </w:pPr>
      <w:r>
        <w:rPr>
          <w:rFonts w:hint="eastAsia" w:ascii="仿宋" w:hAnsi="仿宋" w:eastAsia="仿宋" w:cs="宋体"/>
          <w:color w:val="333333"/>
          <w:kern w:val="0"/>
          <w:szCs w:val="21"/>
        </w:rPr>
        <w:t>5、计划工期：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 xml:space="preserve">                  （具体以甲方开工令为准）</w:t>
      </w:r>
    </w:p>
    <w:p>
      <w:pPr>
        <w:keepNext w:val="0"/>
        <w:keepLines w:val="0"/>
        <w:pageBreakBefore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0" w:rightChars="0"/>
        <w:textAlignment w:val="baseline"/>
        <w:outlineLvl w:val="9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二、资格</w:t>
      </w:r>
      <w:r>
        <w:rPr>
          <w:rFonts w:hint="eastAsia" w:ascii="宋体" w:hAnsi="宋体"/>
          <w:b/>
          <w:color w:val="000000"/>
          <w:kern w:val="0"/>
          <w:sz w:val="24"/>
          <w:lang w:val="en-US" w:eastAsia="zh-CN"/>
        </w:rPr>
        <w:t>审查</w:t>
      </w:r>
      <w:r>
        <w:rPr>
          <w:rFonts w:hint="eastAsia" w:ascii="宋体" w:hAnsi="宋体"/>
          <w:b/>
          <w:color w:val="000000"/>
          <w:kern w:val="0"/>
          <w:sz w:val="24"/>
        </w:rPr>
        <w:t>要求</w:t>
      </w:r>
    </w:p>
    <w:p>
      <w:pPr>
        <w:widowControl/>
        <w:shd w:val="clear" w:color="auto" w:fill="FFFFFF"/>
        <w:spacing w:before="100" w:after="100" w:line="260" w:lineRule="atLeast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Cs w:val="21"/>
        </w:rPr>
        <w:t>1、公司性质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：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>报名人系合法注册的独立法人机构</w:t>
      </w:r>
    </w:p>
    <w:p>
      <w:pPr>
        <w:widowControl/>
        <w:shd w:val="clear" w:color="auto" w:fill="FFFFFF"/>
        <w:spacing w:after="100" w:line="260" w:lineRule="atLeast"/>
        <w:jc w:val="left"/>
        <w:rPr>
          <w:rFonts w:ascii="仿宋" w:hAnsi="仿宋" w:eastAsia="仿宋" w:cs="宋体"/>
          <w:color w:val="333333"/>
          <w:kern w:val="0"/>
          <w:szCs w:val="21"/>
          <w:u w:val="single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Cs w:val="21"/>
        </w:rPr>
        <w:t>2、注册资金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 xml:space="preserve">： 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 xml:space="preserve">        万元以上（原则上要求注册资本超过暂估总价或相近）</w:t>
      </w:r>
    </w:p>
    <w:p>
      <w:pPr>
        <w:widowControl/>
        <w:shd w:val="clear" w:color="auto" w:fill="FFFFFF"/>
        <w:spacing w:after="100" w:line="260" w:lineRule="atLeast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Cs w:val="21"/>
        </w:rPr>
        <w:t>3、资质等级要求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：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 xml:space="preserve">                  </w:t>
      </w:r>
    </w:p>
    <w:p>
      <w:pPr>
        <w:widowControl/>
        <w:shd w:val="clear" w:color="auto" w:fill="FFFFFF"/>
        <w:spacing w:after="100" w:line="260" w:lineRule="atLeast"/>
        <w:jc w:val="left"/>
        <w:rPr>
          <w:rFonts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Cs w:val="21"/>
        </w:rPr>
        <w:t>4、生产经营规模</w:t>
      </w:r>
      <w:r>
        <w:rPr>
          <w:rFonts w:hint="eastAsia" w:ascii="仿宋" w:hAnsi="仿宋" w:eastAsia="仿宋" w:cs="宋体"/>
          <w:b/>
          <w:bCs/>
          <w:color w:val="333333"/>
          <w:kern w:val="0"/>
          <w:szCs w:val="21"/>
        </w:rPr>
        <w:t>：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</w:rPr>
        <w:t>年营业收入达到   万元人民币以上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Cs w:val="21"/>
        </w:rPr>
        <w:t>5、近</w:t>
      </w: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年</w:t>
      </w: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不少于</w:t>
      </w:r>
      <w:r>
        <w:rPr>
          <w:rFonts w:hint="eastAsia" w:ascii="仿宋" w:hAnsi="仿宋" w:eastAsia="仿宋" w:cs="宋体"/>
          <w:color w:val="333333"/>
          <w:kern w:val="0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项与本项目类似</w:t>
      </w:r>
      <w:r>
        <w:rPr>
          <w:rFonts w:hint="eastAsia" w:ascii="仿宋" w:hAnsi="仿宋" w:eastAsia="仿宋" w:cs="宋体"/>
          <w:color w:val="333333"/>
          <w:kern w:val="0"/>
          <w:szCs w:val="21"/>
        </w:rPr>
        <w:t>业绩（同等条件下本地化优先原则，以保证本地关系协调、人材机调配、售后服务）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lang w:val="en-US" w:eastAsia="zh-CN"/>
        </w:rPr>
        <w:t>6、</w:t>
      </w:r>
      <w:r>
        <w:rPr>
          <w:rFonts w:ascii="Calibri" w:hAnsi="Calibri" w:eastAsia="仿宋" w:cs="Calibri"/>
          <w:color w:val="333333"/>
          <w:kern w:val="0"/>
          <w:szCs w:val="21"/>
        </w:rPr>
        <w:t> </w:t>
      </w: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近3年无生产</w:t>
      </w:r>
      <w:r>
        <w:rPr>
          <w:rFonts w:ascii="仿宋" w:hAnsi="仿宋" w:eastAsia="仿宋" w:cs="Calibri"/>
          <w:color w:val="333333"/>
          <w:kern w:val="0"/>
          <w:szCs w:val="21"/>
          <w:u w:val="none"/>
        </w:rPr>
        <w:t>经营</w:t>
      </w: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和</w:t>
      </w:r>
      <w:r>
        <w:rPr>
          <w:rFonts w:ascii="仿宋" w:hAnsi="仿宋" w:eastAsia="仿宋" w:cs="Calibri"/>
          <w:color w:val="333333"/>
          <w:kern w:val="0"/>
          <w:szCs w:val="21"/>
          <w:u w:val="none"/>
        </w:rPr>
        <w:t>履约</w:t>
      </w: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的不良记录（特别是农民工支付）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ascii="宋体" w:hAnsi="宋体"/>
          <w:b/>
          <w:color w:val="000000"/>
          <w:sz w:val="24"/>
          <w:shd w:val="solid" w:color="FFFFFF" w:fill="auto"/>
        </w:rPr>
      </w:pPr>
      <w:r>
        <w:rPr>
          <w:rFonts w:hint="eastAsia" w:ascii="宋体" w:hAnsi="宋体"/>
          <w:b/>
          <w:color w:val="000000"/>
          <w:kern w:val="0"/>
          <w:sz w:val="24"/>
          <w:lang w:val="en-US" w:eastAsia="zh-CN"/>
        </w:rPr>
        <w:t>三、</w:t>
      </w:r>
      <w:r>
        <w:rPr>
          <w:rFonts w:hint="eastAsia" w:ascii="宋体" w:hAnsi="宋体"/>
          <w:b/>
          <w:color w:val="000000"/>
          <w:kern w:val="0"/>
          <w:sz w:val="24"/>
        </w:rPr>
        <w:t>报名时需要提交的相关资料</w:t>
      </w:r>
      <w:r>
        <w:rPr>
          <w:rFonts w:hint="eastAsia" w:ascii="仿宋" w:hAnsi="仿宋" w:eastAsia="仿宋" w:cs="宋体"/>
          <w:b/>
          <w:bCs/>
          <w:color w:val="333333"/>
          <w:kern w:val="0"/>
          <w:szCs w:val="21"/>
        </w:rPr>
        <w:t>（所有资料均需有盖公司公章扫描成电子版，原件备查）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1、报名申请人介绍信和授权书（原件）；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2、报名申请人委托的联系人（非法人代表的）在职证明文件（劳动合同及社保证明）及联系方式；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3、报名申请人营业执照副本；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4、</w:t>
      </w:r>
      <w:r>
        <w:rPr>
          <w:rFonts w:hint="eastAsia" w:ascii="仿宋" w:hAnsi="仿宋" w:eastAsia="仿宋" w:cs="宋体"/>
          <w:color w:val="333333"/>
          <w:kern w:val="0"/>
          <w:szCs w:val="21"/>
          <w:u w:val="none"/>
          <w:lang w:val="en-US" w:eastAsia="zh-CN"/>
        </w:rPr>
        <w:t>报名申请人相关资质证书；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5、报名申请人拟投入本工程的项目负责人（项目经理）的简历、职务职称证书及在本企业的社保证明资料等；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6、报名申请人类似工程业绩。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  <w:lang w:val="en-US" w:eastAsia="zh-CN"/>
        </w:rPr>
        <w:t>四</w:t>
      </w:r>
      <w:r>
        <w:rPr>
          <w:rFonts w:hint="eastAsia" w:ascii="宋体" w:hAnsi="宋体"/>
          <w:b/>
          <w:color w:val="000000"/>
          <w:kern w:val="0"/>
          <w:sz w:val="24"/>
        </w:rPr>
        <w:t>、报名方式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 w:firstLine="420" w:firstLineChars="200"/>
        <w:outlineLvl w:val="9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将投标报名资料（电子版）发至我司邮箱：</w:t>
      </w:r>
      <w:r>
        <w:rPr>
          <w:rFonts w:hint="eastAsia" w:ascii="宋体" w:hAnsi="宋体"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kern w:val="0"/>
          <w:sz w:val="24"/>
        </w:rPr>
        <w:t>，</w:t>
      </w: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报名单位应及时完善并提供相关资料，以便通过资审。</w:t>
      </w:r>
    </w:p>
    <w:p>
      <w:pPr>
        <w:keepNext w:val="0"/>
        <w:keepLines w:val="0"/>
        <w:pageBreakBefore w:val="0"/>
        <w:numPr>
          <w:ilvl w:val="0"/>
          <w:numId w:val="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0" w:rightChars="0"/>
        <w:textAlignment w:val="baseline"/>
        <w:outlineLvl w:val="9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ascii="宋体" w:hAnsi="宋体"/>
          <w:b/>
          <w:color w:val="000000"/>
          <w:kern w:val="0"/>
          <w:sz w:val="24"/>
        </w:rPr>
        <w:t>报名</w:t>
      </w:r>
      <w:r>
        <w:rPr>
          <w:rFonts w:hint="eastAsia" w:ascii="宋体" w:hAnsi="宋体"/>
          <w:b/>
          <w:color w:val="000000"/>
          <w:kern w:val="0"/>
          <w:sz w:val="24"/>
        </w:rPr>
        <w:t>截止</w:t>
      </w:r>
      <w:r>
        <w:rPr>
          <w:rFonts w:ascii="宋体" w:hAnsi="宋体"/>
          <w:b/>
          <w:color w:val="000000"/>
          <w:kern w:val="0"/>
          <w:sz w:val="24"/>
        </w:rPr>
        <w:t>时间</w:t>
      </w:r>
    </w:p>
    <w:p>
      <w:pPr>
        <w:keepNext w:val="0"/>
        <w:keepLines w:val="0"/>
        <w:pageBreakBefore w:val="0"/>
        <w:numPr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ind w:right="0" w:rightChars="0" w:firstLine="420" w:firstLineChars="200"/>
        <w:textAlignment w:val="baseline"/>
        <w:outlineLvl w:val="9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【    】年【  】月【  】日前，未在截止日期前进行报名，视为自动放弃。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textAlignment w:val="baseline"/>
        <w:outlineLvl w:val="9"/>
        <w:rPr>
          <w:rFonts w:ascii="宋体" w:hAnsi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投标</w:t>
      </w:r>
      <w:r>
        <w:rPr>
          <w:rFonts w:ascii="宋体" w:hAnsi="宋体"/>
          <w:b/>
          <w:color w:val="000000"/>
          <w:kern w:val="0"/>
          <w:sz w:val="24"/>
        </w:rPr>
        <w:t>条件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 w:firstLine="420" w:firstLineChars="200"/>
        <w:textAlignment w:val="baseline"/>
        <w:outlineLvl w:val="9"/>
        <w:rPr>
          <w:rFonts w:hint="eastAsia" w:ascii="仿宋" w:hAnsi="仿宋" w:eastAsia="仿宋" w:cs="宋体"/>
          <w:color w:val="333333"/>
          <w:kern w:val="0"/>
          <w:szCs w:val="21"/>
          <w:u w:val="none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u w:val="none"/>
        </w:rPr>
        <w:t>在资审通过后，招标人将以投标邀请函的形式邀请合格的入围单位参与投标。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/>
          <w:color w:val="00000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招标人：珠海市红正建设工程有限公司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地址：广东省珠海市金湾区红旗镇广安路14号之四红旗城发集团三楼305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联系人</w:t>
      </w:r>
      <w:r>
        <w:rPr>
          <w:rFonts w:hint="eastAsia" w:ascii="宋体" w:hAnsi="宋体"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default" w:ascii="宋体" w:hAnsi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联系方式：</w:t>
      </w:r>
      <w:r>
        <w:rPr>
          <w:rFonts w:hint="eastAsia" w:ascii="宋体" w:hAnsi="宋体"/>
          <w:color w:val="000000"/>
          <w:kern w:val="0"/>
          <w:sz w:val="24"/>
        </w:rPr>
        <w:t>0756-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7788729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ind w:right="0" w:rightChars="0"/>
        <w:outlineLvl w:val="9"/>
        <w:rPr>
          <w:rFonts w:hint="default" w:ascii="宋体" w:hAnsi="宋体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日期：     年    月    日</w:t>
      </w:r>
    </w:p>
    <w:p>
      <w:pPr>
        <w:widowControl/>
        <w:shd w:val="clear" w:color="auto" w:fill="FFFFFF"/>
        <w:spacing w:after="100" w:line="260" w:lineRule="atLeast"/>
        <w:jc w:val="left"/>
        <w:rPr>
          <w:rFonts w:hint="eastAsia" w:ascii="仿宋" w:hAnsi="仿宋" w:eastAsia="仿宋" w:cs="宋体"/>
          <w:color w:val="333333"/>
          <w:kern w:val="0"/>
          <w:szCs w:val="21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宋体"/>
          <w:color w:val="333333"/>
          <w:kern w:val="0"/>
          <w:szCs w:val="21"/>
          <w:u w:val="singl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hAnsi="仿宋_GB2312" w:eastAsia="仿宋_GB2312" w:cs="仿宋_GB2312"/>
        <w:b/>
        <w:bCs/>
        <w:sz w:val="36"/>
        <w:szCs w:val="36"/>
        <w:highlight w:val="none"/>
        <w:u w:val="none"/>
      </w:rPr>
    </w:pPr>
    <w:r>
      <w:rPr>
        <w:rFonts w:ascii="仿宋_GB2312" w:hAnsi="仿宋_GB2312" w:eastAsia="仿宋_GB2312" w:cs="仿宋_GB2312"/>
        <w:b/>
        <w:sz w:val="36"/>
        <w:szCs w:val="36"/>
        <w:highlight w:val="none"/>
        <w:u w:val="non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392430</wp:posOffset>
          </wp:positionH>
          <wp:positionV relativeFrom="paragraph">
            <wp:posOffset>187325</wp:posOffset>
          </wp:positionV>
          <wp:extent cx="650240" cy="548005"/>
          <wp:effectExtent l="0" t="0" r="16510" b="444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4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jc w:val="center"/>
      <w:rPr>
        <w:rFonts w:hint="eastAsia" w:ascii="华文新魏" w:hAnsi="华文新魏" w:eastAsia="华文新魏" w:cs="华文新魏"/>
        <w:b/>
        <w:bCs/>
        <w:sz w:val="36"/>
        <w:szCs w:val="36"/>
        <w:highlight w:val="none"/>
        <w:u w:val="none"/>
      </w:rPr>
    </w:pPr>
    <w:r>
      <w:rPr>
        <w:rFonts w:hint="eastAsia" w:ascii="华文新魏" w:hAnsi="华文新魏" w:eastAsia="华文新魏" w:cs="华文新魏"/>
        <w:b/>
        <w:bCs/>
        <w:sz w:val="36"/>
        <w:szCs w:val="36"/>
        <w:highlight w:val="none"/>
        <w:u w:val="none"/>
      </w:rPr>
      <w:t>珠海市红正建设工程有限公司</w:t>
    </w:r>
  </w:p>
  <w:p>
    <w:pPr>
      <w:pStyle w:val="3"/>
      <w:jc w:val="center"/>
      <w:rPr>
        <w:rFonts w:hint="default" w:ascii="仿宋_GB2312" w:hAnsi="仿宋_GB2312" w:eastAsia="仿宋_GB2312" w:cs="仿宋_GB2312"/>
        <w:b/>
        <w:bCs/>
        <w:sz w:val="36"/>
        <w:szCs w:val="36"/>
        <w:highlight w:val="none"/>
        <w:u w:val="none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5C307"/>
    <w:multiLevelType w:val="singleLevel"/>
    <w:tmpl w:val="C435C30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DD67AE"/>
    <w:multiLevelType w:val="singleLevel"/>
    <w:tmpl w:val="7ADD67A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91B14"/>
    <w:rsid w:val="2369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金湾区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2023-12-04T01:36:00Z</dcterms:created>
  <dc:creator>李淼青</dc:creator>
  <cp:lastModifiedBy>李淼青</cp:lastModifiedBy>
  <dcterms:modified xsi:type="dcterms:W3CDTF">2023-12-04T02:16:02Z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A11E678FF6AC4AE98E61A880D5F51F05</vt:lpwstr>
  </property>
</Properties>
</file>